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hint="eastAsia" w:eastAsia="方正小标宋_GBK"/>
          <w:bCs/>
          <w:kern w:val="0"/>
          <w:sz w:val="44"/>
          <w:szCs w:val="44"/>
          <w:lang w:eastAsia="zh-CN"/>
        </w:rPr>
      </w:pPr>
      <w:bookmarkStart w:id="0" w:name="_GoBack"/>
      <w:bookmarkEnd w:id="0"/>
      <w:r>
        <w:rPr>
          <w:rFonts w:hint="eastAsia" w:eastAsia="方正小标宋_GBK"/>
          <w:bCs/>
          <w:kern w:val="0"/>
          <w:sz w:val="44"/>
          <w:szCs w:val="44"/>
          <w:lang w:val="en-US" w:eastAsia="zh-CN"/>
        </w:rPr>
        <w:t>2023</w:t>
      </w:r>
      <w:r>
        <w:rPr>
          <w:rFonts w:eastAsia="方正小标宋_GBK"/>
          <w:bCs/>
          <w:kern w:val="0"/>
          <w:sz w:val="44"/>
          <w:szCs w:val="44"/>
        </w:rPr>
        <w:t>年</w:t>
      </w:r>
      <w:r>
        <w:rPr>
          <w:rFonts w:hint="eastAsia" w:eastAsia="方正小标宋_GBK"/>
          <w:bCs/>
          <w:kern w:val="0"/>
          <w:sz w:val="44"/>
          <w:szCs w:val="44"/>
          <w:lang w:eastAsia="zh-CN"/>
        </w:rPr>
        <w:t>江永县</w:t>
      </w:r>
      <w:r>
        <w:rPr>
          <w:rFonts w:hint="eastAsia" w:eastAsia="方正小标宋_GBK"/>
          <w:bCs/>
          <w:kern w:val="0"/>
          <w:sz w:val="44"/>
          <w:szCs w:val="44"/>
          <w:lang w:val="en-US" w:eastAsia="zh-CN"/>
        </w:rPr>
        <w:t>松柏瑶</w:t>
      </w:r>
      <w:r>
        <w:rPr>
          <w:rFonts w:hint="eastAsia" w:eastAsia="方正小标宋_GBK"/>
          <w:bCs/>
          <w:kern w:val="0"/>
          <w:sz w:val="44"/>
          <w:szCs w:val="44"/>
          <w:lang w:eastAsia="zh-CN"/>
        </w:rPr>
        <w:t>族乡中心幼儿园</w:t>
      </w:r>
    </w:p>
    <w:p>
      <w:pPr>
        <w:widowControl/>
        <w:spacing w:line="600" w:lineRule="exact"/>
        <w:ind w:firstLine="880" w:firstLineChars="200"/>
        <w:jc w:val="center"/>
        <w:rPr>
          <w:rFonts w:hint="eastAsia" w:eastAsia="方正小标宋_GBK"/>
          <w:bCs/>
          <w:kern w:val="0"/>
          <w:sz w:val="36"/>
          <w:szCs w:val="36"/>
          <w:lang w:val="en-US" w:eastAsia="zh-CN"/>
        </w:rPr>
      </w:pPr>
      <w:r>
        <w:rPr>
          <w:rFonts w:eastAsia="方正小标宋_GBK"/>
          <w:bCs/>
          <w:kern w:val="0"/>
          <w:sz w:val="44"/>
          <w:szCs w:val="44"/>
        </w:rPr>
        <w:t>部门</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公开</w:t>
      </w:r>
    </w:p>
    <w:p>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pPr>
        <w:widowControl/>
        <w:spacing w:line="600" w:lineRule="exact"/>
        <w:ind w:firstLine="643" w:firstLineChars="200"/>
        <w:rPr>
          <w:rFonts w:eastAsia="仿宋_GB2312"/>
          <w:b/>
          <w:bCs/>
          <w:kern w:val="0"/>
          <w:sz w:val="32"/>
          <w:szCs w:val="32"/>
        </w:rPr>
      </w:pPr>
      <w:r>
        <w:rPr>
          <w:rFonts w:eastAsia="仿宋_GB2312"/>
          <w:b/>
          <w:bCs/>
          <w:kern w:val="0"/>
          <w:sz w:val="32"/>
          <w:szCs w:val="32"/>
        </w:rPr>
        <w:t>第一部分</w:t>
      </w:r>
      <w:r>
        <w:rPr>
          <w:rFonts w:hint="eastAsia" w:eastAsia="仿宋_GB2312"/>
          <w:b/>
          <w:bCs/>
          <w:kern w:val="0"/>
          <w:sz w:val="32"/>
          <w:szCs w:val="32"/>
          <w:lang w:val="en-US" w:eastAsia="zh-CN"/>
        </w:rPr>
        <w:t xml:space="preserve">  </w:t>
      </w:r>
      <w:r>
        <w:rPr>
          <w:rFonts w:hint="eastAsia" w:eastAsia="仿宋_GB2312"/>
          <w:b/>
          <w:bCs/>
          <w:kern w:val="0"/>
          <w:sz w:val="32"/>
          <w:szCs w:val="32"/>
          <w:lang w:eastAsia="zh-CN"/>
        </w:rPr>
        <w:t>江永县</w:t>
      </w:r>
      <w:r>
        <w:rPr>
          <w:rFonts w:hint="eastAsia" w:eastAsia="仿宋_GB2312"/>
          <w:b/>
          <w:bCs/>
          <w:kern w:val="0"/>
          <w:sz w:val="32"/>
          <w:szCs w:val="32"/>
          <w:lang w:val="en-US" w:eastAsia="zh-CN"/>
        </w:rPr>
        <w:t>松柏</w:t>
      </w:r>
      <w:r>
        <w:rPr>
          <w:rFonts w:hint="eastAsia" w:eastAsia="仿宋_GB2312"/>
          <w:b/>
          <w:bCs/>
          <w:kern w:val="0"/>
          <w:sz w:val="32"/>
          <w:szCs w:val="32"/>
          <w:lang w:eastAsia="zh-CN"/>
        </w:rPr>
        <w:t>瑶族乡中心幼儿园</w:t>
      </w:r>
      <w:r>
        <w:rPr>
          <w:rFonts w:eastAsia="仿宋_GB2312"/>
          <w:b/>
          <w:bCs/>
          <w:kern w:val="0"/>
          <w:sz w:val="32"/>
          <w:szCs w:val="32"/>
        </w:rPr>
        <w:t>部门概况</w:t>
      </w:r>
    </w:p>
    <w:p>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pPr>
        <w:spacing w:line="600" w:lineRule="exact"/>
        <w:ind w:firstLine="640" w:firstLineChars="200"/>
        <w:jc w:val="left"/>
        <w:rPr>
          <w:rFonts w:eastAsia="仿宋_GB2312"/>
          <w:sz w:val="32"/>
          <w:szCs w:val="32"/>
        </w:rPr>
      </w:pPr>
      <w:r>
        <w:rPr>
          <w:rFonts w:eastAsia="仿宋_GB2312"/>
          <w:sz w:val="32"/>
          <w:szCs w:val="32"/>
        </w:rPr>
        <w:t>2、收入决算情况说明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 xml:space="preserve">第一部分 </w:t>
      </w:r>
      <w:r>
        <w:rPr>
          <w:rFonts w:hint="eastAsia" w:eastAsia="方正小标宋_GBK"/>
          <w:bCs/>
          <w:kern w:val="0"/>
          <w:sz w:val="36"/>
          <w:szCs w:val="36"/>
          <w:lang w:eastAsia="zh-CN"/>
        </w:rPr>
        <w:t>江永县</w:t>
      </w:r>
      <w:r>
        <w:rPr>
          <w:rFonts w:hint="eastAsia" w:eastAsia="方正小标宋_GBK"/>
          <w:bCs/>
          <w:kern w:val="0"/>
          <w:sz w:val="36"/>
          <w:szCs w:val="36"/>
          <w:lang w:val="en-US" w:eastAsia="zh-CN"/>
        </w:rPr>
        <w:t>松柏</w:t>
      </w:r>
      <w:r>
        <w:rPr>
          <w:rFonts w:hint="eastAsia" w:eastAsia="方正小标宋_GBK"/>
          <w:bCs/>
          <w:kern w:val="0"/>
          <w:sz w:val="36"/>
          <w:szCs w:val="36"/>
          <w:lang w:eastAsia="zh-CN"/>
        </w:rPr>
        <w:t>瑶族乡中心幼儿园</w:t>
      </w:r>
      <w:r>
        <w:rPr>
          <w:rFonts w:hint="eastAsia" w:eastAsia="方正小标宋_GBK"/>
          <w:bCs/>
          <w:kern w:val="0"/>
          <w:sz w:val="36"/>
          <w:szCs w:val="36"/>
        </w:rPr>
        <w:t>部门概况</w:t>
      </w:r>
    </w:p>
    <w:p>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pPr>
        <w:widowControl/>
        <w:spacing w:line="60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1</w:t>
      </w:r>
      <w:r>
        <w:rPr>
          <w:rFonts w:hint="eastAsia" w:ascii="仿宋" w:hAnsi="仿宋" w:eastAsia="仿宋" w:cs="仿宋"/>
          <w:bCs/>
          <w:kern w:val="0"/>
          <w:sz w:val="32"/>
          <w:szCs w:val="32"/>
          <w:lang w:val="en-US" w:eastAsia="zh-CN"/>
        </w:rPr>
        <w:t>.</w:t>
      </w:r>
      <w:r>
        <w:rPr>
          <w:rFonts w:hint="eastAsia" w:ascii="仿宋" w:hAnsi="仿宋" w:eastAsia="仿宋" w:cs="仿宋"/>
          <w:bCs/>
          <w:kern w:val="0"/>
          <w:sz w:val="32"/>
          <w:szCs w:val="32"/>
        </w:rPr>
        <w:t>贯彻执行会计法和财务工作方针政策，为教育教学服务。</w:t>
      </w:r>
    </w:p>
    <w:p>
      <w:pPr>
        <w:widowControl/>
        <w:spacing w:line="60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2</w:t>
      </w:r>
      <w:r>
        <w:rPr>
          <w:rFonts w:hint="eastAsia" w:ascii="仿宋" w:hAnsi="仿宋" w:eastAsia="仿宋" w:cs="仿宋"/>
          <w:bCs/>
          <w:kern w:val="0"/>
          <w:sz w:val="32"/>
          <w:szCs w:val="32"/>
          <w:lang w:val="en-US" w:eastAsia="zh-CN"/>
        </w:rPr>
        <w:t>.</w:t>
      </w:r>
      <w:r>
        <w:rPr>
          <w:rFonts w:hint="eastAsia" w:ascii="仿宋" w:hAnsi="仿宋" w:eastAsia="仿宋" w:cs="仿宋"/>
          <w:bCs/>
          <w:kern w:val="0"/>
          <w:sz w:val="32"/>
          <w:szCs w:val="32"/>
        </w:rPr>
        <w:t>做好幼儿园年度预决算的编制工作</w:t>
      </w:r>
      <w:r>
        <w:rPr>
          <w:rFonts w:hint="eastAsia" w:ascii="仿宋" w:hAnsi="仿宋" w:eastAsia="仿宋" w:cs="仿宋"/>
          <w:bCs/>
          <w:kern w:val="0"/>
          <w:sz w:val="32"/>
          <w:szCs w:val="32"/>
          <w:lang w:eastAsia="zh-CN"/>
        </w:rPr>
        <w:t>，</w:t>
      </w:r>
      <w:r>
        <w:rPr>
          <w:rFonts w:hint="eastAsia" w:ascii="仿宋" w:hAnsi="仿宋" w:eastAsia="仿宋" w:cs="仿宋"/>
          <w:bCs/>
          <w:kern w:val="0"/>
          <w:sz w:val="32"/>
          <w:szCs w:val="32"/>
        </w:rPr>
        <w:t>编制好各种统计报表，做到准备充分、资料完整、报送及时。</w:t>
      </w:r>
    </w:p>
    <w:p>
      <w:pPr>
        <w:widowControl/>
        <w:spacing w:line="60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3</w:t>
      </w:r>
      <w:r>
        <w:rPr>
          <w:rFonts w:hint="eastAsia" w:ascii="仿宋" w:hAnsi="仿宋" w:eastAsia="仿宋" w:cs="仿宋"/>
          <w:bCs/>
          <w:kern w:val="0"/>
          <w:sz w:val="32"/>
          <w:szCs w:val="32"/>
          <w:lang w:val="en-US" w:eastAsia="zh-CN"/>
        </w:rPr>
        <w:t>.</w:t>
      </w:r>
      <w:r>
        <w:rPr>
          <w:rFonts w:hint="eastAsia" w:ascii="仿宋" w:hAnsi="仿宋" w:eastAsia="仿宋" w:cs="仿宋"/>
          <w:bCs/>
          <w:kern w:val="0"/>
          <w:sz w:val="32"/>
          <w:szCs w:val="32"/>
        </w:rPr>
        <w:t>核查、督促固定资产及其它财产的登记统计。</w:t>
      </w:r>
    </w:p>
    <w:p>
      <w:pPr>
        <w:widowControl/>
        <w:spacing w:line="60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4</w:t>
      </w:r>
      <w:r>
        <w:rPr>
          <w:rFonts w:hint="eastAsia" w:ascii="仿宋" w:hAnsi="仿宋" w:eastAsia="仿宋" w:cs="仿宋"/>
          <w:bCs/>
          <w:kern w:val="0"/>
          <w:sz w:val="32"/>
          <w:szCs w:val="32"/>
          <w:lang w:val="en-US" w:eastAsia="zh-CN"/>
        </w:rPr>
        <w:t>.</w:t>
      </w:r>
      <w:r>
        <w:rPr>
          <w:rFonts w:hint="eastAsia" w:ascii="仿宋" w:hAnsi="仿宋" w:eastAsia="仿宋" w:cs="仿宋"/>
          <w:bCs/>
          <w:kern w:val="0"/>
          <w:sz w:val="32"/>
          <w:szCs w:val="32"/>
        </w:rPr>
        <w:t>认真做好往来</w:t>
      </w:r>
      <w:r>
        <w:rPr>
          <w:rFonts w:hint="eastAsia" w:ascii="仿宋" w:hAnsi="仿宋" w:eastAsia="仿宋" w:cs="仿宋"/>
          <w:bCs/>
          <w:kern w:val="0"/>
          <w:sz w:val="32"/>
          <w:szCs w:val="32"/>
          <w:lang w:eastAsia="zh-CN"/>
        </w:rPr>
        <w:t>账目</w:t>
      </w:r>
      <w:r>
        <w:rPr>
          <w:rFonts w:hint="eastAsia" w:ascii="仿宋" w:hAnsi="仿宋" w:eastAsia="仿宋" w:cs="仿宋"/>
          <w:bCs/>
          <w:kern w:val="0"/>
          <w:sz w:val="32"/>
          <w:szCs w:val="32"/>
        </w:rPr>
        <w:t>，做好现金收支和银行结算工作。</w:t>
      </w:r>
    </w:p>
    <w:p>
      <w:pPr>
        <w:widowControl/>
        <w:spacing w:line="60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5</w:t>
      </w:r>
      <w:r>
        <w:rPr>
          <w:rFonts w:hint="eastAsia" w:ascii="仿宋" w:hAnsi="仿宋" w:eastAsia="仿宋" w:cs="仿宋"/>
          <w:bCs/>
          <w:kern w:val="0"/>
          <w:sz w:val="32"/>
          <w:szCs w:val="32"/>
          <w:lang w:val="en-US" w:eastAsia="zh-CN"/>
        </w:rPr>
        <w:t>.</w:t>
      </w:r>
      <w:r>
        <w:rPr>
          <w:rFonts w:hint="eastAsia" w:ascii="仿宋" w:hAnsi="仿宋" w:eastAsia="仿宋" w:cs="仿宋"/>
          <w:bCs/>
          <w:kern w:val="0"/>
          <w:sz w:val="32"/>
          <w:szCs w:val="32"/>
        </w:rPr>
        <w:t>严格执行现金管理制度，做到日清月结，手续齐备，库存现金不得超过银行规定限额，数目清楚，不得以工作之便牟取私利。</w:t>
      </w:r>
    </w:p>
    <w:p>
      <w:pPr>
        <w:widowControl/>
        <w:spacing w:line="60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6</w:t>
      </w:r>
      <w:r>
        <w:rPr>
          <w:rFonts w:hint="eastAsia" w:ascii="仿宋" w:hAnsi="仿宋" w:eastAsia="仿宋" w:cs="仿宋"/>
          <w:bCs/>
          <w:kern w:val="0"/>
          <w:sz w:val="32"/>
          <w:szCs w:val="32"/>
          <w:lang w:val="en-US" w:eastAsia="zh-CN"/>
        </w:rPr>
        <w:t>.</w:t>
      </w:r>
      <w:r>
        <w:rPr>
          <w:rFonts w:hint="eastAsia" w:ascii="仿宋" w:hAnsi="仿宋" w:eastAsia="仿宋" w:cs="仿宋"/>
          <w:bCs/>
          <w:kern w:val="0"/>
          <w:sz w:val="32"/>
          <w:szCs w:val="32"/>
        </w:rPr>
        <w:t>严格财经纪律不许挪用公款，以身作则，办事公道，坚持原则。</w:t>
      </w:r>
    </w:p>
    <w:p>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ind w:firstLine="643" w:firstLineChars="200"/>
        <w:rPr>
          <w:rFonts w:hint="eastAsia" w:ascii="楷体_GB2312" w:hAnsi="宋体" w:eastAsia="仿宋_GB2312"/>
          <w:b/>
          <w:bCs/>
          <w:kern w:val="0"/>
          <w:sz w:val="32"/>
          <w:szCs w:val="32"/>
          <w:lang w:eastAsia="zh-CN"/>
        </w:rPr>
      </w:pPr>
      <w:r>
        <w:rPr>
          <w:rFonts w:hint="eastAsia" w:ascii="楷体_GB2312" w:hAnsi="宋体" w:eastAsia="楷体_GB2312"/>
          <w:b/>
          <w:bCs/>
          <w:kern w:val="0"/>
          <w:sz w:val="32"/>
          <w:szCs w:val="32"/>
        </w:rPr>
        <w:t>（一）内设机构设置。</w:t>
      </w:r>
      <w:r>
        <w:rPr>
          <w:rFonts w:hint="eastAsia" w:eastAsia="仿宋_GB2312"/>
          <w:sz w:val="32"/>
          <w:szCs w:val="32"/>
          <w:lang w:eastAsia="zh-CN"/>
        </w:rPr>
        <w:t>江永县</w:t>
      </w:r>
      <w:r>
        <w:rPr>
          <w:rFonts w:hint="eastAsia" w:eastAsia="仿宋_GB2312"/>
          <w:sz w:val="32"/>
          <w:szCs w:val="32"/>
          <w:lang w:val="en-US" w:eastAsia="zh-CN"/>
        </w:rPr>
        <w:t>松柏</w:t>
      </w:r>
      <w:r>
        <w:rPr>
          <w:rFonts w:hint="eastAsia" w:eastAsia="仿宋_GB2312"/>
          <w:sz w:val="32"/>
          <w:szCs w:val="32"/>
          <w:lang w:eastAsia="zh-CN"/>
        </w:rPr>
        <w:t>瑶族乡中心幼儿园</w:t>
      </w:r>
      <w:r>
        <w:rPr>
          <w:rFonts w:eastAsia="仿宋_GB2312"/>
          <w:bCs/>
          <w:kern w:val="0"/>
          <w:sz w:val="32"/>
          <w:szCs w:val="32"/>
        </w:rPr>
        <w:t>单位内设机构包括：</w:t>
      </w:r>
      <w:r>
        <w:rPr>
          <w:rFonts w:hint="eastAsia" w:eastAsia="仿宋_GB2312"/>
          <w:bCs/>
          <w:kern w:val="0"/>
          <w:sz w:val="32"/>
          <w:szCs w:val="32"/>
        </w:rPr>
        <w:t>行政部门</w:t>
      </w:r>
      <w:r>
        <w:rPr>
          <w:rFonts w:hint="eastAsia" w:eastAsia="仿宋_GB2312"/>
          <w:bCs/>
          <w:kern w:val="0"/>
          <w:sz w:val="32"/>
          <w:szCs w:val="32"/>
          <w:lang w:eastAsia="zh-CN"/>
        </w:rPr>
        <w:t>、</w:t>
      </w:r>
      <w:r>
        <w:rPr>
          <w:rFonts w:hint="eastAsia" w:eastAsia="仿宋_GB2312"/>
          <w:bCs/>
          <w:kern w:val="0"/>
          <w:sz w:val="32"/>
          <w:szCs w:val="32"/>
        </w:rPr>
        <w:t>办公室</w:t>
      </w:r>
      <w:r>
        <w:rPr>
          <w:rFonts w:hint="eastAsia" w:eastAsia="仿宋_GB2312"/>
          <w:bCs/>
          <w:kern w:val="0"/>
          <w:sz w:val="32"/>
          <w:szCs w:val="32"/>
          <w:lang w:eastAsia="zh-CN"/>
        </w:rPr>
        <w:t>、</w:t>
      </w:r>
      <w:r>
        <w:rPr>
          <w:rFonts w:hint="eastAsia" w:eastAsia="仿宋_GB2312"/>
          <w:bCs/>
          <w:kern w:val="0"/>
          <w:sz w:val="32"/>
          <w:szCs w:val="32"/>
        </w:rPr>
        <w:t>工会</w:t>
      </w:r>
      <w:r>
        <w:rPr>
          <w:rFonts w:hint="eastAsia" w:eastAsia="仿宋_GB2312"/>
          <w:bCs/>
          <w:kern w:val="0"/>
          <w:sz w:val="32"/>
          <w:szCs w:val="32"/>
          <w:lang w:eastAsia="zh-CN"/>
        </w:rPr>
        <w:t>、保教</w:t>
      </w:r>
      <w:r>
        <w:rPr>
          <w:rFonts w:hint="eastAsia" w:eastAsia="仿宋_GB2312"/>
          <w:bCs/>
          <w:kern w:val="0"/>
          <w:sz w:val="32"/>
          <w:szCs w:val="32"/>
        </w:rPr>
        <w:t>部门</w:t>
      </w:r>
      <w:r>
        <w:rPr>
          <w:rFonts w:hint="eastAsia" w:eastAsia="仿宋_GB2312"/>
          <w:bCs/>
          <w:kern w:val="0"/>
          <w:sz w:val="32"/>
          <w:szCs w:val="32"/>
          <w:lang w:eastAsia="zh-CN"/>
        </w:rPr>
        <w:t>、</w:t>
      </w:r>
      <w:r>
        <w:rPr>
          <w:rFonts w:hint="eastAsia" w:eastAsia="仿宋_GB2312"/>
          <w:bCs/>
          <w:kern w:val="0"/>
          <w:sz w:val="32"/>
          <w:szCs w:val="32"/>
        </w:rPr>
        <w:t>后勤办</w:t>
      </w:r>
      <w:r>
        <w:rPr>
          <w:rFonts w:hint="eastAsia" w:eastAsia="仿宋_GB2312"/>
          <w:bCs/>
          <w:kern w:val="0"/>
          <w:sz w:val="32"/>
          <w:szCs w:val="32"/>
          <w:lang w:eastAsia="zh-CN"/>
        </w:rPr>
        <w:t>、</w:t>
      </w:r>
      <w:r>
        <w:rPr>
          <w:rFonts w:hint="eastAsia" w:eastAsia="仿宋_GB2312"/>
          <w:bCs/>
          <w:kern w:val="0"/>
          <w:sz w:val="32"/>
          <w:szCs w:val="32"/>
        </w:rPr>
        <w:t>财务部门</w:t>
      </w:r>
      <w:r>
        <w:rPr>
          <w:rFonts w:hint="eastAsia" w:eastAsia="仿宋_GB2312"/>
          <w:bCs/>
          <w:kern w:val="0"/>
          <w:sz w:val="32"/>
          <w:szCs w:val="32"/>
          <w:lang w:eastAsia="zh-CN"/>
        </w:rPr>
        <w:t>、</w:t>
      </w:r>
      <w:r>
        <w:rPr>
          <w:rFonts w:hint="eastAsia" w:eastAsia="仿宋_GB2312"/>
          <w:bCs/>
          <w:kern w:val="0"/>
          <w:sz w:val="32"/>
          <w:szCs w:val="32"/>
        </w:rPr>
        <w:t>安全部门</w:t>
      </w:r>
      <w:r>
        <w:rPr>
          <w:rFonts w:hint="eastAsia" w:eastAsia="仿宋_GB2312"/>
          <w:bCs/>
          <w:kern w:val="0"/>
          <w:sz w:val="32"/>
          <w:szCs w:val="32"/>
          <w:lang w:eastAsia="zh-CN"/>
        </w:rPr>
        <w:t>。</w:t>
      </w:r>
    </w:p>
    <w:p>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（二）决算单位构成。</w:t>
      </w:r>
      <w:r>
        <w:rPr>
          <w:rFonts w:hint="eastAsia" w:ascii="楷体_GB2312" w:hAnsi="宋体" w:eastAsia="楷体_GB2312"/>
          <w:b/>
          <w:bCs/>
          <w:kern w:val="0"/>
          <w:sz w:val="32"/>
          <w:szCs w:val="32"/>
          <w:lang w:val="en-US" w:eastAsia="zh-CN"/>
        </w:rPr>
        <w:t xml:space="preserve"> </w:t>
      </w:r>
      <w:r>
        <w:rPr>
          <w:rFonts w:hint="eastAsia" w:eastAsia="仿宋_GB2312"/>
          <w:sz w:val="32"/>
          <w:szCs w:val="32"/>
          <w:lang w:eastAsia="zh-CN"/>
        </w:rPr>
        <w:t>江永县</w:t>
      </w:r>
      <w:r>
        <w:rPr>
          <w:rFonts w:hint="eastAsia" w:eastAsia="仿宋_GB2312"/>
          <w:sz w:val="32"/>
          <w:szCs w:val="32"/>
          <w:lang w:val="en-US" w:eastAsia="zh-CN"/>
        </w:rPr>
        <w:t>松柏</w:t>
      </w:r>
      <w:r>
        <w:rPr>
          <w:rFonts w:hint="eastAsia" w:eastAsia="仿宋_GB2312"/>
          <w:sz w:val="32"/>
          <w:szCs w:val="32"/>
          <w:lang w:eastAsia="zh-CN"/>
        </w:rPr>
        <w:t>瑶族乡中心幼儿园</w:t>
      </w:r>
      <w:r>
        <w:rPr>
          <w:rFonts w:eastAsia="仿宋_GB2312"/>
          <w:bCs/>
          <w:kern w:val="0"/>
          <w:sz w:val="32"/>
          <w:szCs w:val="32"/>
        </w:rPr>
        <w:t>单位</w:t>
      </w:r>
      <w:r>
        <w:rPr>
          <w:rFonts w:hint="eastAsia" w:eastAsia="仿宋_GB2312"/>
          <w:bCs/>
          <w:kern w:val="0"/>
          <w:sz w:val="32"/>
          <w:szCs w:val="32"/>
          <w:lang w:val="en-US" w:eastAsia="zh-CN"/>
        </w:rPr>
        <w:t xml:space="preserve">    </w:t>
      </w:r>
      <w:r>
        <w:rPr>
          <w:rFonts w:eastAsia="仿宋_GB2312"/>
          <w:bCs/>
          <w:kern w:val="0"/>
          <w:sz w:val="32"/>
          <w:szCs w:val="32"/>
        </w:rPr>
        <w:t>年部门决算汇总公开单位构成包括：</w:t>
      </w:r>
      <w:r>
        <w:rPr>
          <w:rFonts w:hint="eastAsia" w:eastAsia="仿宋_GB2312"/>
          <w:sz w:val="32"/>
          <w:szCs w:val="32"/>
          <w:lang w:eastAsia="zh-CN"/>
        </w:rPr>
        <w:t>江永县</w:t>
      </w:r>
      <w:r>
        <w:rPr>
          <w:rFonts w:hint="eastAsia" w:eastAsia="仿宋_GB2312"/>
          <w:sz w:val="32"/>
          <w:szCs w:val="32"/>
          <w:lang w:val="en-US" w:eastAsia="zh-CN"/>
        </w:rPr>
        <w:t>松柏</w:t>
      </w:r>
      <w:r>
        <w:rPr>
          <w:rFonts w:hint="eastAsia" w:eastAsia="仿宋_GB2312"/>
          <w:sz w:val="32"/>
          <w:szCs w:val="32"/>
          <w:lang w:eastAsia="zh-CN"/>
        </w:rPr>
        <w:t>瑶族乡中心幼儿园</w:t>
      </w:r>
      <w:r>
        <w:rPr>
          <w:rFonts w:eastAsia="仿宋_GB2312"/>
          <w:bCs/>
          <w:kern w:val="0"/>
          <w:sz w:val="32"/>
          <w:szCs w:val="32"/>
        </w:rPr>
        <w:t>单位本级以及</w:t>
      </w:r>
      <w:r>
        <w:rPr>
          <w:rFonts w:hint="eastAsia" w:eastAsia="仿宋_GB2312"/>
          <w:bCs/>
          <w:kern w:val="0"/>
          <w:sz w:val="32"/>
          <w:szCs w:val="32"/>
        </w:rPr>
        <w:t>财务部门</w:t>
      </w:r>
    </w:p>
    <w:p>
      <w:pPr>
        <w:widowControl/>
        <w:spacing w:line="600" w:lineRule="exact"/>
        <w:ind w:firstLine="640" w:firstLineChars="200"/>
        <w:rPr>
          <w:rFonts w:eastAsia="仿宋_GB2312"/>
          <w:bCs/>
          <w:kern w:val="0"/>
          <w:sz w:val="32"/>
          <w:szCs w:val="32"/>
        </w:rPr>
      </w:pPr>
    </w:p>
    <w:p>
      <w:pPr>
        <w:widowControl/>
        <w:numPr>
          <w:ilvl w:val="0"/>
          <w:numId w:val="1"/>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pPr>
        <w:widowControl/>
        <w:tabs>
          <w:tab w:val="left" w:pos="7807"/>
        </w:tabs>
        <w:spacing w:line="600" w:lineRule="exact"/>
        <w:ind w:firstLine="720" w:firstLineChars="200"/>
        <w:jc w:val="both"/>
        <w:rPr>
          <w:rFonts w:hint="eastAsia" w:eastAsia="方正小标宋_GBK"/>
          <w:bCs/>
          <w:kern w:val="0"/>
          <w:sz w:val="36"/>
          <w:szCs w:val="36"/>
        </w:rPr>
      </w:pPr>
    </w:p>
    <w:p>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pPr>
        <w:pStyle w:val="17"/>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pPr>
        <w:pStyle w:val="17"/>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hint="eastAsia" w:ascii="Times New Roman" w:hAnsi="Times New Roman" w:eastAsia="仿宋_GB2312"/>
          <w:b w:val="0"/>
          <w:bCs w:val="0"/>
          <w:i w:val="0"/>
          <w:iCs w:val="0"/>
          <w:color w:val="000000"/>
          <w:sz w:val="32"/>
          <w:szCs w:val="32"/>
          <w:highlight w:val="none"/>
          <w:u w:val="single"/>
          <w:lang w:val="en-US" w:eastAsia="zh-CN"/>
        </w:rPr>
        <w:t>123.69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p>
    <w:p>
      <w:pPr>
        <w:pStyle w:val="17"/>
        <w:spacing w:line="600" w:lineRule="exact"/>
        <w:ind w:firstLine="640" w:firstLineChars="200"/>
        <w:rPr>
          <w:rFonts w:hAnsi="黑体"/>
          <w:color w:val="000000"/>
          <w:sz w:val="32"/>
          <w:szCs w:val="32"/>
        </w:rPr>
      </w:pPr>
      <w:r>
        <w:rPr>
          <w:rFonts w:hAnsi="黑体"/>
          <w:color w:val="000000"/>
          <w:sz w:val="32"/>
          <w:szCs w:val="32"/>
        </w:rPr>
        <w:t>二、收入决算情况说明</w:t>
      </w:r>
    </w:p>
    <w:p>
      <w:pPr>
        <w:pStyle w:val="17"/>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59.25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59.25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100 </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pPr>
        <w:pStyle w:val="17"/>
        <w:spacing w:line="600" w:lineRule="exact"/>
        <w:ind w:firstLine="640" w:firstLineChars="200"/>
        <w:rPr>
          <w:rFonts w:hAnsi="黑体"/>
          <w:color w:val="000000"/>
          <w:sz w:val="32"/>
          <w:szCs w:val="32"/>
        </w:rPr>
      </w:pPr>
      <w:r>
        <w:rPr>
          <w:rFonts w:hAnsi="黑体"/>
          <w:color w:val="000000"/>
          <w:sz w:val="32"/>
          <w:szCs w:val="32"/>
        </w:rPr>
        <w:t>三、支出决算情况说明</w:t>
      </w:r>
    </w:p>
    <w:p>
      <w:pPr>
        <w:pStyle w:val="17"/>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59.25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51.55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13.9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pPr>
        <w:pStyle w:val="17"/>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123.69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rPr>
        <w:t>。</w:t>
      </w:r>
    </w:p>
    <w:p>
      <w:pPr>
        <w:pStyle w:val="17"/>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pPr>
        <w:pStyle w:val="17"/>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59.25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w:t>
      </w:r>
    </w:p>
    <w:p>
      <w:pPr>
        <w:pStyle w:val="17"/>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pPr>
        <w:pStyle w:val="17"/>
        <w:spacing w:line="600" w:lineRule="exact"/>
        <w:ind w:firstLine="640" w:firstLineChars="200"/>
        <w:rPr>
          <w:rFonts w:hint="default" w:ascii="Times New Roman" w:hAnsi="Times New Roman" w:eastAsia="仿宋_GB2312"/>
          <w:color w:val="000000"/>
          <w:sz w:val="32"/>
          <w:szCs w:val="32"/>
          <w:u w:val="none"/>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59.25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万元，主要用于以下方面：教育支出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110.81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84.86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社会保障和就业支出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7.95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;卫生健康支出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4.43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;其他支出类机关事业单位基本养老保险缴费支出</w:t>
      </w:r>
      <w:r>
        <w:rPr>
          <w:rFonts w:hint="eastAsia" w:ascii="Times New Roman" w:hAnsi="Times New Roman" w:eastAsia="仿宋_GB2312"/>
          <w:color w:val="000000"/>
          <w:sz w:val="32"/>
          <w:szCs w:val="32"/>
          <w:u w:val="single"/>
          <w:lang w:val="en-US" w:eastAsia="zh-CN"/>
        </w:rPr>
        <w:t>7.9</w:t>
      </w:r>
      <w:r>
        <w:rPr>
          <w:rFonts w:hint="eastAsia" w:ascii="Times New Roman" w:hAnsi="Times New Roman" w:eastAsia="仿宋_GB2312"/>
          <w:color w:val="000000"/>
          <w:sz w:val="32"/>
          <w:szCs w:val="32"/>
          <w:u w:val="none"/>
          <w:lang w:val="en-US" w:eastAsia="zh-CN"/>
        </w:rPr>
        <w:t>，</w:t>
      </w:r>
      <w:r>
        <w:rPr>
          <w:rFonts w:ascii="Times New Roman" w:hAnsi="Times New Roman" w:eastAsia="仿宋_GB2312"/>
          <w:color w:val="000000"/>
          <w:sz w:val="32"/>
          <w:szCs w:val="32"/>
        </w:rPr>
        <w:t>占</w:t>
      </w:r>
      <w:r>
        <w:rPr>
          <w:rFonts w:hint="eastAsia" w:ascii="Times New Roman" w:hAnsi="Times New Roman" w:eastAsia="仿宋_GB2312"/>
          <w:color w:val="000000"/>
          <w:sz w:val="32"/>
          <w:szCs w:val="32"/>
          <w:u w:val="single"/>
          <w:lang w:val="en-US" w:eastAsia="zh-CN"/>
        </w:rPr>
        <w:t>4.2%</w:t>
      </w:r>
      <w:r>
        <w:rPr>
          <w:rFonts w:hint="eastAsia" w:ascii="Times New Roman" w:hAnsi="Times New Roman" w:eastAsia="仿宋_GB2312"/>
          <w:color w:val="000000"/>
          <w:sz w:val="32"/>
          <w:szCs w:val="32"/>
          <w:u w:val="none"/>
          <w:lang w:val="en-US" w:eastAsia="zh-CN"/>
        </w:rPr>
        <w:t>。</w:t>
      </w:r>
    </w:p>
    <w:p>
      <w:pPr>
        <w:pStyle w:val="17"/>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59.25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59.25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pPr>
        <w:pStyle w:val="17"/>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1、教育</w:t>
      </w:r>
      <w:r>
        <w:rPr>
          <w:rFonts w:hint="eastAsia" w:ascii="Times New Roman" w:hAnsi="Times New Roman" w:eastAsia="仿宋_GB2312"/>
          <w:color w:val="000000"/>
          <w:sz w:val="32"/>
          <w:szCs w:val="32"/>
          <w:lang w:eastAsia="zh-CN"/>
        </w:rPr>
        <w:t>类</w:t>
      </w:r>
      <w:r>
        <w:rPr>
          <w:rFonts w:ascii="Times New Roman" w:hAnsi="Times New Roman" w:eastAsia="仿宋_GB2312"/>
          <w:color w:val="000000"/>
          <w:sz w:val="32"/>
          <w:szCs w:val="32"/>
        </w:rPr>
        <w:t>支出。</w:t>
      </w:r>
    </w:p>
    <w:p>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110.81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110.81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w:t>
      </w:r>
    </w:p>
    <w:p>
      <w:pPr>
        <w:pStyle w:val="17"/>
        <w:numPr>
          <w:ilvl w:val="0"/>
          <w:numId w:val="2"/>
        </w:numPr>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eastAsia="zh-CN"/>
        </w:rPr>
        <w:t>社会保障和就业支出类</w:t>
      </w:r>
    </w:p>
    <w:p>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7.95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7.95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pPr>
        <w:pStyle w:val="17"/>
        <w:numPr>
          <w:ilvl w:val="0"/>
          <w:numId w:val="2"/>
        </w:num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卫生健康支出类</w:t>
      </w:r>
      <w:r>
        <w:rPr>
          <w:rFonts w:hint="eastAsia" w:ascii="Times New Roman" w:hAnsi="Times New Roman" w:eastAsia="仿宋_GB2312"/>
          <w:color w:val="000000"/>
          <w:sz w:val="32"/>
          <w:szCs w:val="32"/>
          <w:lang w:eastAsia="zh-CN"/>
        </w:rPr>
        <w:t>其他行政事业单位医疗支出职工基本医疗保险缴费</w:t>
      </w:r>
      <w:r>
        <w:rPr>
          <w:rFonts w:ascii="Times New Roman" w:hAnsi="Times New Roman" w:eastAsia="仿宋_GB2312"/>
          <w:color w:val="000000"/>
          <w:sz w:val="32"/>
          <w:szCs w:val="32"/>
        </w:rPr>
        <w:t>。</w:t>
      </w:r>
    </w:p>
    <w:p>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w:t>
      </w:r>
    </w:p>
    <w:p>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4、其他支出类机关事业单位基本养老保险缴费支出</w:t>
      </w:r>
    </w:p>
    <w:p>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pPr>
        <w:pStyle w:val="17"/>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110.81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万元，其中：人员经费</w:t>
      </w:r>
      <w:r>
        <w:rPr>
          <w:rFonts w:hint="eastAsia" w:ascii="Times New Roman" w:hAnsi="Times New Roman" w:eastAsia="仿宋_GB2312"/>
          <w:color w:val="000000"/>
          <w:sz w:val="32"/>
          <w:szCs w:val="32"/>
          <w:u w:val="single"/>
          <w:lang w:val="en-US" w:eastAsia="zh-CN"/>
        </w:rPr>
        <w:t>72.1</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%,主要包括基本工资、津贴补贴、奖金、</w:t>
      </w:r>
      <w:r>
        <w:rPr>
          <w:rFonts w:hint="eastAsia" w:ascii="Times New Roman" w:hAnsi="Times New Roman" w:eastAsia="仿宋_GB2312"/>
          <w:color w:val="000000"/>
          <w:sz w:val="32"/>
          <w:szCs w:val="32"/>
          <w:lang w:eastAsia="zh-CN"/>
        </w:rPr>
        <w:t>绩效工资、机关事业单位基本养老保险缴费、职工基本医疗保险缴费、生活补助等</w:t>
      </w:r>
      <w:r>
        <w:rPr>
          <w:rFonts w:ascii="Times New Roman" w:hAnsi="Times New Roman" w:eastAsia="仿宋_GB2312"/>
          <w:color w:val="000000"/>
          <w:sz w:val="32"/>
          <w:szCs w:val="32"/>
        </w:rPr>
        <w:t>；公用经费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51.55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%，主要包括办公费、</w:t>
      </w:r>
      <w:r>
        <w:rPr>
          <w:rFonts w:hint="eastAsia" w:ascii="Times New Roman" w:hAnsi="Times New Roman" w:eastAsia="仿宋_GB2312"/>
          <w:color w:val="000000"/>
          <w:sz w:val="32"/>
          <w:szCs w:val="32"/>
          <w:lang w:eastAsia="zh-CN"/>
        </w:rPr>
        <w:t>劳务费、工会经费、其他商品和服务支出。</w:t>
      </w:r>
    </w:p>
    <w:p>
      <w:pPr>
        <w:pStyle w:val="17"/>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pPr>
        <w:pStyle w:val="17"/>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pPr>
        <w:pStyle w:val="17"/>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0.89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pPr>
        <w:pStyle w:val="17"/>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pPr>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无</w:t>
      </w:r>
    </w:p>
    <w:p>
      <w:pPr>
        <w:pStyle w:val="17"/>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年度本单位无政府性基金收支</w:t>
      </w:r>
      <w:r>
        <w:rPr>
          <w:rFonts w:hint="eastAsia" w:ascii="Times New Roman" w:hAnsi="Times New Roman" w:eastAsia="仿宋_GB2312"/>
          <w:color w:val="000000"/>
          <w:sz w:val="32"/>
          <w:szCs w:val="32"/>
          <w:lang w:eastAsia="zh-CN"/>
        </w:rPr>
        <w:t>。</w:t>
      </w:r>
    </w:p>
    <w:p>
      <w:pPr>
        <w:pStyle w:val="17"/>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pPr>
        <w:pStyle w:val="17"/>
        <w:spacing w:line="600" w:lineRule="exact"/>
        <w:ind w:firstLine="643" w:firstLineChars="200"/>
        <w:rPr>
          <w:rFonts w:hint="eastAsia" w:ascii="楷体_GB2312" w:hAnsi="Times New Roman" w:eastAsia="楷体_GB2312"/>
          <w:b/>
          <w:color w:val="000000"/>
          <w:sz w:val="32"/>
          <w:szCs w:val="32"/>
          <w:lang w:eastAsia="zh-CN"/>
        </w:rPr>
      </w:pPr>
      <w:r>
        <w:rPr>
          <w:rFonts w:hint="eastAsia" w:ascii="楷体_GB2312" w:hAnsi="Times New Roman" w:eastAsia="楷体_GB2312"/>
          <w:b/>
          <w:color w:val="000000"/>
          <w:sz w:val="32"/>
          <w:szCs w:val="32"/>
          <w:lang w:eastAsia="zh-CN"/>
        </w:rPr>
        <w:t>（一</w:t>
      </w:r>
      <w:r>
        <w:rPr>
          <w:rFonts w:hint="eastAsia" w:ascii="楷体_GB2312" w:hAnsi="Times New Roman" w:eastAsia="楷体_GB2312"/>
          <w:b/>
          <w:color w:val="000000"/>
          <w:sz w:val="32"/>
          <w:szCs w:val="32"/>
          <w:lang w:val="en-US" w:eastAsia="zh-CN"/>
        </w:rPr>
        <w:t>)</w:t>
      </w:r>
      <w:r>
        <w:rPr>
          <w:rFonts w:hint="eastAsia" w:ascii="楷体_GB2312" w:hAnsi="Times New Roman" w:eastAsia="楷体_GB2312"/>
          <w:b/>
          <w:color w:val="000000"/>
          <w:sz w:val="32"/>
          <w:szCs w:val="32"/>
          <w:lang w:eastAsia="zh-CN"/>
        </w:rPr>
        <w:t>预算绩效管理开展情况</w:t>
      </w:r>
    </w:p>
    <w:p>
      <w:pPr>
        <w:pStyle w:val="17"/>
        <w:spacing w:line="600" w:lineRule="exact"/>
        <w:ind w:firstLine="643" w:firstLineChars="200"/>
        <w:rPr>
          <w:rFonts w:hint="eastAsia" w:ascii="仿宋" w:hAnsi="仿宋" w:eastAsia="仿宋" w:cs="仿宋"/>
          <w:b/>
          <w:color w:val="000000"/>
          <w:sz w:val="32"/>
          <w:szCs w:val="32"/>
          <w:lang w:eastAsia="zh-CN"/>
        </w:rPr>
      </w:pPr>
      <w:r>
        <w:rPr>
          <w:rFonts w:hint="eastAsia" w:ascii="仿宋" w:hAnsi="仿宋" w:eastAsia="仿宋" w:cs="仿宋"/>
          <w:b/>
          <w:color w:val="000000"/>
          <w:sz w:val="32"/>
          <w:szCs w:val="32"/>
          <w:lang w:eastAsia="zh-CN"/>
        </w:rPr>
        <w:t>本单位高度重视预算绩效工作，成立了专门的预算绩效管理工作领导小组，由主要领导担任组长，相关部门负责人担任成员，明确了各部门的职责分工。</w:t>
      </w:r>
    </w:p>
    <w:p>
      <w:pPr>
        <w:pStyle w:val="17"/>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lang w:eastAsia="zh-CN"/>
        </w:rPr>
        <w:t>（二）</w:t>
      </w:r>
      <w:r>
        <w:rPr>
          <w:rFonts w:hint="eastAsia" w:ascii="楷体_GB2312" w:hAnsi="Times New Roman" w:eastAsia="楷体_GB2312"/>
          <w:b/>
          <w:color w:val="000000"/>
          <w:sz w:val="32"/>
          <w:szCs w:val="32"/>
        </w:rPr>
        <w:t>绩效目标</w:t>
      </w:r>
    </w:p>
    <w:p>
      <w:pPr>
        <w:pStyle w:val="17"/>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在预算编制工作中，我根据单位的实际情况，科学合理地分配各项资金。通过深入调研、分析实际需求，严格控制预算项目的设定，确保资金的有效利用。同时，我加强了预算的预测与调整能力，在实际编制过程中，不仅考虑到常规性支出，还为突发性开支预留了应急预算，以便在紧急情况下保障单位正常运转。</w:t>
      </w:r>
    </w:p>
    <w:p>
      <w:pPr>
        <w:pStyle w:val="17"/>
        <w:spacing w:line="600" w:lineRule="exact"/>
        <w:ind w:firstLine="640" w:firstLineChars="200"/>
        <w:rPr>
          <w:rFonts w:hAnsi="黑体"/>
          <w:color w:val="000000"/>
          <w:sz w:val="32"/>
          <w:szCs w:val="32"/>
        </w:rPr>
      </w:pPr>
      <w:r>
        <w:rPr>
          <w:rFonts w:hAnsi="黑体"/>
          <w:color w:val="000000"/>
          <w:sz w:val="32"/>
          <w:szCs w:val="32"/>
        </w:rPr>
        <w:t>十、其他重要事项情况说明</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pPr>
        <w:spacing w:line="600" w:lineRule="exact"/>
        <w:ind w:firstLine="640" w:firstLineChars="200"/>
        <w:rPr>
          <w:rFonts w:hint="eastAsia" w:eastAsia="仿宋_GB2312"/>
          <w:kern w:val="0"/>
          <w:sz w:val="32"/>
          <w:szCs w:val="32"/>
          <w:lang w:eastAsia="zh-CN"/>
        </w:rPr>
      </w:pPr>
      <w:r>
        <w:rPr>
          <w:rFonts w:eastAsia="仿宋_GB2312"/>
          <w:kern w:val="0"/>
          <w:sz w:val="32"/>
          <w:szCs w:val="32"/>
        </w:rPr>
        <w:t>本部门</w:t>
      </w:r>
      <w:r>
        <w:rPr>
          <w:rFonts w:hint="eastAsia" w:eastAsia="仿宋_GB2312"/>
          <w:b/>
          <w:bCs/>
          <w:kern w:val="0"/>
          <w:sz w:val="32"/>
          <w:szCs w:val="32"/>
          <w:lang w:val="en-US" w:eastAsia="zh-CN"/>
        </w:rPr>
        <w:t>2023</w:t>
      </w:r>
      <w:r>
        <w:rPr>
          <w:rFonts w:eastAsia="仿宋_GB2312"/>
          <w:kern w:val="0"/>
          <w:sz w:val="32"/>
          <w:szCs w:val="32"/>
        </w:rPr>
        <w:t>年度机关运行经费支出</w:t>
      </w:r>
      <w:r>
        <w:rPr>
          <w:rFonts w:eastAsia="仿宋_GB2312"/>
          <w:sz w:val="32"/>
          <w:szCs w:val="32"/>
          <w:u w:val="single"/>
        </w:rPr>
        <w:t xml:space="preserve"> </w:t>
      </w:r>
      <w:r>
        <w:rPr>
          <w:rFonts w:hint="eastAsia" w:eastAsia="仿宋_GB2312"/>
          <w:sz w:val="32"/>
          <w:szCs w:val="32"/>
          <w:u w:val="single"/>
          <w:lang w:val="en-US" w:eastAsia="zh-CN"/>
        </w:rPr>
        <w:t>59.52</w:t>
      </w:r>
      <w:r>
        <w:rPr>
          <w:rFonts w:eastAsia="仿宋_GB2312"/>
          <w:sz w:val="32"/>
          <w:szCs w:val="32"/>
          <w:u w:val="single"/>
        </w:rPr>
        <w:t xml:space="preserve">  </w:t>
      </w:r>
      <w:r>
        <w:rPr>
          <w:rFonts w:eastAsia="仿宋_GB2312"/>
          <w:kern w:val="0"/>
          <w:sz w:val="32"/>
          <w:szCs w:val="32"/>
        </w:rPr>
        <w:t>万元</w:t>
      </w:r>
      <w:r>
        <w:rPr>
          <w:rFonts w:hint="eastAsia" w:eastAsia="仿宋_GB2312"/>
          <w:kern w:val="0"/>
          <w:sz w:val="32"/>
          <w:szCs w:val="32"/>
          <w:lang w:eastAsia="zh-CN"/>
        </w:rPr>
        <w:t>。</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pPr>
        <w:spacing w:line="60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2023</w:t>
      </w:r>
      <w:r>
        <w:rPr>
          <w:rFonts w:eastAsia="仿宋_GB2312"/>
          <w:kern w:val="0"/>
          <w:sz w:val="32"/>
          <w:szCs w:val="32"/>
        </w:rPr>
        <w:t>年本部门开支会议费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万元；开支培训费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w:t>
      </w:r>
      <w:r>
        <w:rPr>
          <w:rFonts w:hint="eastAsia" w:eastAsia="仿宋_GB2312"/>
          <w:kern w:val="0"/>
          <w:sz w:val="32"/>
          <w:szCs w:val="32"/>
          <w:lang w:eastAsia="zh-CN"/>
        </w:rPr>
        <w:t>。</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pPr>
        <w:spacing w:line="600" w:lineRule="exact"/>
        <w:ind w:firstLine="640" w:firstLineChars="200"/>
        <w:rPr>
          <w:rFonts w:hint="eastAsia" w:eastAsia="仿宋_GB2312"/>
          <w:kern w:val="0"/>
          <w:sz w:val="32"/>
          <w:szCs w:val="32"/>
          <w:lang w:eastAsia="zh-CN"/>
        </w:rPr>
      </w:pPr>
      <w:r>
        <w:rPr>
          <w:rFonts w:eastAsia="仿宋_GB2312"/>
          <w:kern w:val="0"/>
          <w:sz w:val="32"/>
          <w:szCs w:val="32"/>
        </w:rPr>
        <w:t>本部门</w:t>
      </w:r>
      <w:r>
        <w:rPr>
          <w:rFonts w:hint="eastAsia" w:eastAsia="仿宋_GB2312"/>
          <w:kern w:val="0"/>
          <w:sz w:val="32"/>
          <w:szCs w:val="32"/>
          <w:lang w:val="en-US" w:eastAsia="zh-CN"/>
        </w:rPr>
        <w:t>2023</w:t>
      </w:r>
      <w:r>
        <w:rPr>
          <w:rFonts w:eastAsia="仿宋_GB2312"/>
          <w:kern w:val="0"/>
          <w:sz w:val="32"/>
          <w:szCs w:val="32"/>
        </w:rPr>
        <w:t>年度</w:t>
      </w:r>
      <w:r>
        <w:rPr>
          <w:rFonts w:hint="eastAsia" w:eastAsia="仿宋_GB2312"/>
          <w:kern w:val="0"/>
          <w:sz w:val="32"/>
          <w:szCs w:val="32"/>
          <w:lang w:eastAsia="zh-CN"/>
        </w:rPr>
        <w:t>无</w:t>
      </w:r>
      <w:r>
        <w:rPr>
          <w:rFonts w:eastAsia="仿宋_GB2312"/>
          <w:kern w:val="0"/>
          <w:sz w:val="32"/>
          <w:szCs w:val="32"/>
        </w:rPr>
        <w:t>政府采购支出</w:t>
      </w:r>
      <w:r>
        <w:rPr>
          <w:rFonts w:hint="eastAsia" w:eastAsia="仿宋_GB2312"/>
          <w:kern w:val="0"/>
          <w:sz w:val="32"/>
          <w:szCs w:val="32"/>
          <w:lang w:eastAsia="zh-CN"/>
        </w:rPr>
        <w:t>。</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pPr>
        <w:spacing w:line="600" w:lineRule="exact"/>
        <w:ind w:firstLine="640" w:firstLineChars="200"/>
        <w:rPr>
          <w:rFonts w:eastAsia="仿宋_GB2312"/>
          <w:kern w:val="0"/>
          <w:sz w:val="32"/>
          <w:szCs w:val="32"/>
        </w:rPr>
      </w:pPr>
      <w:r>
        <w:rPr>
          <w:rFonts w:eastAsia="仿宋_GB2312"/>
          <w:kern w:val="0"/>
          <w:sz w:val="32"/>
          <w:szCs w:val="32"/>
        </w:rPr>
        <w:t>截至</w:t>
      </w:r>
      <w:r>
        <w:rPr>
          <w:rFonts w:hint="eastAsia" w:eastAsia="仿宋_GB2312"/>
          <w:kern w:val="0"/>
          <w:sz w:val="32"/>
          <w:szCs w:val="32"/>
          <w:lang w:val="en-US" w:eastAsia="zh-CN"/>
        </w:rPr>
        <w:t>2023</w:t>
      </w:r>
      <w:r>
        <w:rPr>
          <w:rFonts w:eastAsia="仿宋_GB2312"/>
          <w:kern w:val="0"/>
          <w:sz w:val="32"/>
          <w:szCs w:val="32"/>
        </w:rPr>
        <w:t>年12月31日，本单位共有车辆</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辆，其中，领导干部用车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辆、机要通信用车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辆、应急保障用车</w:t>
      </w:r>
      <w:r>
        <w:rPr>
          <w:rFonts w:hint="eastAsia" w:eastAsia="仿宋_GB2312"/>
          <w:kern w:val="0"/>
          <w:sz w:val="32"/>
          <w:szCs w:val="32"/>
          <w:lang w:val="en-US" w:eastAsia="zh-CN"/>
        </w:rPr>
        <w:t>0</w:t>
      </w:r>
      <w:r>
        <w:rPr>
          <w:rFonts w:eastAsia="仿宋_GB2312"/>
          <w:sz w:val="32"/>
          <w:szCs w:val="32"/>
          <w:u w:val="single"/>
        </w:rPr>
        <w:t xml:space="preserve">   </w:t>
      </w:r>
      <w:r>
        <w:rPr>
          <w:rFonts w:eastAsia="仿宋_GB2312"/>
          <w:kern w:val="0"/>
          <w:sz w:val="32"/>
          <w:szCs w:val="32"/>
        </w:rPr>
        <w:t>辆、执法执勤用车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辆、特种专业技术用车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辆；单位价值50万元以上通用设备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台（套）；单位价值100万元以上专用设备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w:t>
      </w:r>
    </w:p>
    <w:p>
      <w:pPr>
        <w:spacing w:line="600" w:lineRule="exact"/>
        <w:ind w:firstLine="640" w:firstLineChars="200"/>
        <w:rPr>
          <w:rFonts w:eastAsia="仿宋_GB2312"/>
          <w:kern w:val="0"/>
          <w:sz w:val="32"/>
          <w:szCs w:val="32"/>
        </w:rPr>
      </w:pPr>
    </w:p>
    <w:p>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pPr>
        <w:shd w:val="solid" w:color="FFFFFF" w:fill="auto"/>
        <w:kinsoku/>
        <w:autoSpaceDE/>
        <w:autoSpaceDN w:val="0"/>
        <w:ind w:firstLine="1080" w:firstLineChars="300"/>
        <w:jc w:val="left"/>
        <w:rPr>
          <w:rFonts w:hint="eastAsia" w:eastAsia="方正小标宋_GBK"/>
          <w:bCs/>
          <w:kern w:val="0"/>
          <w:sz w:val="36"/>
          <w:szCs w:val="36"/>
        </w:rPr>
      </w:pPr>
    </w:p>
    <w:p>
      <w:pPr>
        <w:shd w:val="solid" w:color="FFFFFF" w:fill="auto"/>
        <w:kinsoku/>
        <w:autoSpaceDE/>
        <w:autoSpaceDN w:val="0"/>
        <w:ind w:firstLine="1080" w:firstLineChars="300"/>
        <w:jc w:val="left"/>
        <w:rPr>
          <w:rFonts w:hint="eastAsia" w:eastAsia="方正小标宋_GBK"/>
          <w:bCs/>
          <w:kern w:val="0"/>
          <w:sz w:val="36"/>
          <w:szCs w:val="36"/>
        </w:rPr>
      </w:pPr>
    </w:p>
    <w:p>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clear" w:pos="4153"/>
        <w:tab w:val="clear" w:pos="8306"/>
      </w:tabs>
      <w:ind w:right="280" w:firstLine="360"/>
      <w:jc w:val="right"/>
      <w:rPr>
        <w:rStyle w:val="16"/>
        <w:rFonts w:hint="eastAsia" w:ascii="宋体" w:hAnsi="宋体"/>
        <w:sz w:val="28"/>
        <w:szCs w:val="28"/>
      </w:rPr>
    </w:pPr>
    <w:r>
      <w:rPr>
        <w:rStyle w:val="16"/>
        <w:rFonts w:hint="eastAsia" w:ascii="宋体" w:hAnsi="宋体"/>
        <w:sz w:val="28"/>
        <w:szCs w:val="28"/>
      </w:rPr>
      <w:t>—</w:t>
    </w:r>
    <w:r>
      <w:rPr>
        <w:rFonts w:ascii="宋体" w:hAnsi="宋体"/>
        <w:sz w:val="28"/>
        <w:szCs w:val="28"/>
      </w:rPr>
      <w:fldChar w:fldCharType="begin"/>
    </w:r>
    <w:r>
      <w:rPr>
        <w:rStyle w:val="16"/>
        <w:rFonts w:ascii="宋体" w:hAnsi="宋体"/>
        <w:sz w:val="28"/>
        <w:szCs w:val="28"/>
      </w:rPr>
      <w:instrText xml:space="preserve"> PAGE </w:instrText>
    </w:r>
    <w:r>
      <w:rPr>
        <w:rFonts w:ascii="宋体" w:hAnsi="宋体"/>
        <w:sz w:val="28"/>
        <w:szCs w:val="28"/>
      </w:rPr>
      <w:fldChar w:fldCharType="separate"/>
    </w:r>
    <w:r>
      <w:rPr>
        <w:rStyle w:val="16"/>
        <w:rFonts w:ascii="宋体" w:hAnsi="宋体"/>
        <w:sz w:val="28"/>
        <w:szCs w:val="28"/>
      </w:rPr>
      <w:t>9</w:t>
    </w:r>
    <w:r>
      <w:rPr>
        <w:rFonts w:ascii="宋体" w:hAnsi="宋体"/>
        <w:sz w:val="28"/>
        <w:szCs w:val="28"/>
      </w:rPr>
      <w:fldChar w:fldCharType="end"/>
    </w:r>
    <w:r>
      <w:rPr>
        <w:rStyle w:val="16"/>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clear" w:pos="4153"/>
        <w:tab w:val="clear" w:pos="8306"/>
      </w:tabs>
      <w:ind w:right="360" w:firstLine="280" w:firstLineChars="100"/>
      <w:rPr>
        <w:rStyle w:val="16"/>
        <w:rFonts w:hint="eastAsia" w:ascii="宋体" w:hAnsi="宋体"/>
        <w:sz w:val="28"/>
        <w:szCs w:val="28"/>
      </w:rPr>
    </w:pPr>
    <w:r>
      <w:rPr>
        <w:rStyle w:val="16"/>
        <w:rFonts w:hint="eastAsia" w:ascii="宋体" w:hAnsi="宋体"/>
        <w:sz w:val="28"/>
        <w:szCs w:val="28"/>
      </w:rPr>
      <w:t>—</w:t>
    </w:r>
    <w:r>
      <w:rPr>
        <w:rFonts w:ascii="宋体" w:hAnsi="宋体"/>
        <w:sz w:val="28"/>
        <w:szCs w:val="28"/>
      </w:rPr>
      <w:fldChar w:fldCharType="begin"/>
    </w:r>
    <w:r>
      <w:rPr>
        <w:rStyle w:val="16"/>
        <w:rFonts w:ascii="宋体" w:hAnsi="宋体"/>
        <w:sz w:val="28"/>
        <w:szCs w:val="28"/>
      </w:rPr>
      <w:instrText xml:space="preserve"> PAGE </w:instrText>
    </w:r>
    <w:r>
      <w:rPr>
        <w:rFonts w:ascii="宋体" w:hAnsi="宋体"/>
        <w:sz w:val="28"/>
        <w:szCs w:val="28"/>
      </w:rPr>
      <w:fldChar w:fldCharType="separate"/>
    </w:r>
    <w:r>
      <w:rPr>
        <w:rStyle w:val="16"/>
        <w:rFonts w:ascii="宋体" w:hAnsi="宋体"/>
        <w:sz w:val="28"/>
        <w:szCs w:val="28"/>
      </w:rPr>
      <w:t>2</w:t>
    </w:r>
    <w:r>
      <w:rPr>
        <w:rFonts w:ascii="宋体" w:hAnsi="宋体"/>
        <w:sz w:val="28"/>
        <w:szCs w:val="28"/>
      </w:rPr>
      <w:fldChar w:fldCharType="end"/>
    </w:r>
    <w:r>
      <w:rPr>
        <w:rStyle w:val="16"/>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abstractNum w:abstractNumId="1">
    <w:nsid w:val="4DD18ACB"/>
    <w:multiLevelType w:val="singleLevel"/>
    <w:tmpl w:val="4DD18ACB"/>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mYWYxMmVhOWUzMDBiYmZlN2VlMjBhZTU2YjM5MTkifQ=="/>
  </w:docVars>
  <w:rsids>
    <w:rsidRoot w:val="00000000"/>
    <w:rsid w:val="0FC24482"/>
    <w:rsid w:val="11376319"/>
    <w:rsid w:val="231132FF"/>
    <w:rsid w:val="35167210"/>
    <w:rsid w:val="35717135"/>
    <w:rsid w:val="38C2711D"/>
    <w:rsid w:val="39033292"/>
    <w:rsid w:val="4A056E6A"/>
    <w:rsid w:val="50041972"/>
    <w:rsid w:val="5E0A01B8"/>
    <w:rsid w:val="5FB25C1A"/>
    <w:rsid w:val="64243CD9"/>
    <w:rsid w:val="65BF2872"/>
    <w:rsid w:val="6C517895"/>
    <w:rsid w:val="6EFC5A5D"/>
    <w:rsid w:val="76943C19"/>
    <w:rsid w:val="7D5125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6"/>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默认段落字体1"/>
    <w:link w:val="1"/>
    <w:semiHidden/>
    <w:qFormat/>
    <w:uiPriority w:val="0"/>
  </w:style>
  <w:style w:type="table" w:customStyle="1" w:styleId="7">
    <w:name w:val="普通表格1"/>
    <w:qFormat/>
    <w:uiPriority w:val="0"/>
  </w:style>
  <w:style w:type="paragraph" w:customStyle="1" w:styleId="8">
    <w:name w:val="正文文本1"/>
    <w:basedOn w:val="1"/>
    <w:link w:val="9"/>
    <w:qFormat/>
    <w:uiPriority w:val="0"/>
    <w:pPr>
      <w:spacing w:after="120"/>
    </w:pPr>
  </w:style>
  <w:style w:type="character" w:customStyle="1" w:styleId="9">
    <w:name w:val="正文文本 Char Char Char"/>
    <w:link w:val="8"/>
    <w:qFormat/>
    <w:uiPriority w:val="0"/>
    <w:rPr>
      <w:kern w:val="2"/>
      <w:sz w:val="21"/>
      <w:szCs w:val="24"/>
    </w:rPr>
  </w:style>
  <w:style w:type="paragraph" w:customStyle="1" w:styleId="10">
    <w:name w:val="批注框文本1"/>
    <w:basedOn w:val="1"/>
    <w:link w:val="11"/>
    <w:semiHidden/>
    <w:uiPriority w:val="0"/>
    <w:rPr>
      <w:sz w:val="18"/>
      <w:szCs w:val="18"/>
    </w:rPr>
  </w:style>
  <w:style w:type="character" w:customStyle="1" w:styleId="11">
    <w:name w:val="批注框文本 Char Char Char"/>
    <w:link w:val="10"/>
    <w:qFormat/>
    <w:uiPriority w:val="0"/>
    <w:rPr>
      <w:kern w:val="2"/>
      <w:sz w:val="18"/>
      <w:szCs w:val="18"/>
    </w:rPr>
  </w:style>
  <w:style w:type="paragraph" w:customStyle="1" w:styleId="12">
    <w:name w:val="页脚1"/>
    <w:basedOn w:val="1"/>
    <w:link w:val="13"/>
    <w:qFormat/>
    <w:uiPriority w:val="0"/>
    <w:pPr>
      <w:tabs>
        <w:tab w:val="center" w:pos="4153"/>
        <w:tab w:val="right" w:pos="8306"/>
      </w:tabs>
      <w:snapToGrid w:val="0"/>
      <w:jc w:val="left"/>
    </w:pPr>
    <w:rPr>
      <w:sz w:val="18"/>
      <w:szCs w:val="18"/>
    </w:rPr>
  </w:style>
  <w:style w:type="character" w:customStyle="1" w:styleId="13">
    <w:name w:val="页脚 Char Char Char"/>
    <w:link w:val="12"/>
    <w:qFormat/>
    <w:uiPriority w:val="0"/>
    <w:rPr>
      <w:kern w:val="2"/>
      <w:sz w:val="18"/>
      <w:szCs w:val="18"/>
    </w:rPr>
  </w:style>
  <w:style w:type="paragraph" w:customStyle="1" w:styleId="14">
    <w:name w:val="页眉1"/>
    <w:basedOn w:val="1"/>
    <w:link w:val="15"/>
    <w:uiPriority w:val="0"/>
    <w:pPr>
      <w:pBdr>
        <w:bottom w:val="single" w:color="auto" w:sz="6" w:space="1"/>
      </w:pBdr>
      <w:tabs>
        <w:tab w:val="center" w:pos="4153"/>
        <w:tab w:val="right" w:pos="8306"/>
      </w:tabs>
      <w:snapToGrid w:val="0"/>
      <w:jc w:val="center"/>
    </w:pPr>
    <w:rPr>
      <w:sz w:val="18"/>
      <w:szCs w:val="18"/>
    </w:rPr>
  </w:style>
  <w:style w:type="character" w:customStyle="1" w:styleId="15">
    <w:name w:val="页眉 Char Char Char"/>
    <w:link w:val="14"/>
    <w:qFormat/>
    <w:uiPriority w:val="0"/>
    <w:rPr>
      <w:kern w:val="2"/>
      <w:sz w:val="18"/>
      <w:szCs w:val="18"/>
    </w:rPr>
  </w:style>
  <w:style w:type="character" w:customStyle="1" w:styleId="16">
    <w:name w:val="页码1"/>
    <w:basedOn w:val="6"/>
    <w:link w:val="1"/>
    <w:qFormat/>
    <w:uiPriority w:val="0"/>
  </w:style>
  <w:style w:type="paragraph" w:customStyle="1" w:styleId="17">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8">
    <w:name w:val="列出段落"/>
    <w:basedOn w:val="1"/>
    <w:uiPriority w:val="0"/>
    <w:pPr>
      <w:ind w:firstLine="420" w:firstLineChars="200"/>
    </w:pPr>
    <w:rPr>
      <w:rFonts w:ascii="Calibri" w:hAnsi="Calibri" w:eastAsia="宋体"/>
      <w:szCs w:val="22"/>
    </w:rPr>
  </w:style>
  <w:style w:type="paragraph" w:customStyle="1" w:styleId="19">
    <w:name w:val="表格内容"/>
    <w:basedOn w:val="8"/>
    <w:qFormat/>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2507</Words>
  <Characters>2703</Characters>
  <Lines>0</Lines>
  <Paragraphs>0</Paragraphs>
  <TotalTime>73</TotalTime>
  <ScaleCrop>false</ScaleCrop>
  <LinksUpToDate>false</LinksUpToDate>
  <CharactersWithSpaces>2874</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2024-10-08T02:43:00Z</dcterms:created>
  <dc:creator>C</dc:creator>
  <cp:lastModifiedBy>Administrator</cp:lastModifiedBy>
  <dcterms:modified xsi:type="dcterms:W3CDTF">2025-03-17T05:48:14Z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9AE5FAEADDC54C98B834C67A365545BB_13</vt:lpwstr>
  </property>
</Properties>
</file>